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CE9" w14:textId="706AA8D5" w:rsidR="0078471A" w:rsidRDefault="00387270" w:rsidP="0078471A">
      <w:pPr>
        <w:rPr>
          <w:rFonts w:ascii="Poppins" w:hAnsi="Poppins" w:cs="Poppins"/>
          <w:b/>
          <w:bCs/>
          <w:sz w:val="24"/>
          <w:szCs w:val="24"/>
          <w:lang w:val="es-ES"/>
        </w:rPr>
      </w:pPr>
      <w:r w:rsidRPr="00BF2900">
        <w:rPr>
          <w:rFonts w:ascii="Poppins" w:hAnsi="Poppins" w:cs="Poppins"/>
          <w:b/>
          <w:bCs/>
          <w:sz w:val="24"/>
          <w:szCs w:val="24"/>
          <w:lang w:val="es-ES"/>
        </w:rPr>
        <w:t xml:space="preserve">Empoderando a los Profesionales Veterinarios: Dechra </w:t>
      </w:r>
      <w:proofErr w:type="spellStart"/>
      <w:r w:rsidRPr="00BF2900">
        <w:rPr>
          <w:rFonts w:ascii="Poppins" w:hAnsi="Poppins" w:cs="Poppins"/>
          <w:b/>
          <w:bCs/>
          <w:sz w:val="24"/>
          <w:szCs w:val="24"/>
          <w:lang w:val="es-ES"/>
        </w:rPr>
        <w:t>Academy</w:t>
      </w:r>
      <w:proofErr w:type="spellEnd"/>
      <w:r w:rsidRPr="00BF2900">
        <w:rPr>
          <w:rFonts w:ascii="Poppins" w:hAnsi="Poppins" w:cs="Poppins"/>
          <w:b/>
          <w:bCs/>
          <w:sz w:val="24"/>
          <w:szCs w:val="24"/>
          <w:lang w:val="es-ES"/>
        </w:rPr>
        <w:t xml:space="preserve"> y NOMV lanzan una serie de cursos integrales de bienestar mental</w:t>
      </w:r>
    </w:p>
    <w:p w14:paraId="7B25BA99" w14:textId="77777777" w:rsidR="00BF2900" w:rsidRPr="00387270" w:rsidRDefault="00BF2900" w:rsidP="0078471A">
      <w:pPr>
        <w:rPr>
          <w:rFonts w:ascii="Poppins" w:hAnsi="Poppins" w:cs="Poppins"/>
          <w:sz w:val="20"/>
          <w:szCs w:val="20"/>
          <w:lang w:val="es-ES"/>
        </w:rPr>
      </w:pPr>
    </w:p>
    <w:p w14:paraId="1244E36E" w14:textId="77777777" w:rsidR="00373F16" w:rsidRPr="00373F16" w:rsidRDefault="00373F16" w:rsidP="00373F16">
      <w:pPr>
        <w:rPr>
          <w:rFonts w:ascii="Poppins" w:hAnsi="Poppins" w:cs="Poppins"/>
          <w:sz w:val="20"/>
          <w:szCs w:val="20"/>
          <w:lang w:val="es-ES"/>
        </w:rPr>
      </w:pP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 xml:space="preserve">Dechra </w:t>
      </w:r>
      <w:proofErr w:type="spellStart"/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Academy</w:t>
      </w:r>
      <w:proofErr w:type="spellEnd"/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 xml:space="preserve"> y </w:t>
      </w:r>
      <w:proofErr w:type="spellStart"/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Not</w:t>
      </w:r>
      <w:proofErr w:type="spellEnd"/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 xml:space="preserve"> One More Vet (NOMV)</w:t>
      </w:r>
      <w:r w:rsidRPr="00373F16">
        <w:rPr>
          <w:rFonts w:ascii="Poppins" w:hAnsi="Poppins" w:cs="Poppins"/>
          <w:sz w:val="20"/>
          <w:szCs w:val="20"/>
          <w:lang w:val="es-ES"/>
        </w:rPr>
        <w:t xml:space="preserve"> han unido sus fuerzas para presentar una innovadora Serie de </w:t>
      </w: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Cursos de Bienestar Mental</w:t>
      </w:r>
      <w:r w:rsidRPr="00373F16">
        <w:rPr>
          <w:rFonts w:ascii="Poppins" w:hAnsi="Poppins" w:cs="Poppins"/>
          <w:sz w:val="20"/>
          <w:szCs w:val="20"/>
          <w:lang w:val="es-ES"/>
        </w:rPr>
        <w:t xml:space="preserve"> adaptada específicamente a los </w:t>
      </w: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profesionales veterinarios</w:t>
      </w:r>
      <w:r w:rsidRPr="00373F16">
        <w:rPr>
          <w:rFonts w:ascii="Poppins" w:hAnsi="Poppins" w:cs="Poppins"/>
          <w:sz w:val="20"/>
          <w:szCs w:val="20"/>
          <w:lang w:val="es-ES"/>
        </w:rPr>
        <w:t>. Esta colaboración supone un paso importante para abordar el problema crítico de la salud mental en la comunidad veterinaria.</w:t>
      </w:r>
    </w:p>
    <w:p w14:paraId="64269749" w14:textId="77D5A409" w:rsidR="0078471A" w:rsidRPr="00B264E1" w:rsidRDefault="00373F16" w:rsidP="00373F16">
      <w:pPr>
        <w:rPr>
          <w:rFonts w:ascii="Poppins" w:hAnsi="Poppins" w:cs="Poppins"/>
          <w:sz w:val="20"/>
          <w:szCs w:val="20"/>
          <w:lang w:val="es-ES"/>
        </w:rPr>
      </w:pPr>
      <w:r w:rsidRPr="00373F16">
        <w:rPr>
          <w:rFonts w:ascii="Poppins" w:hAnsi="Poppins" w:cs="Poppins"/>
          <w:sz w:val="20"/>
          <w:szCs w:val="20"/>
          <w:lang w:val="es-ES"/>
        </w:rPr>
        <w:t xml:space="preserve">Los </w:t>
      </w: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dos primeros módulos</w:t>
      </w:r>
      <w:r w:rsidRPr="00373F16">
        <w:rPr>
          <w:rFonts w:ascii="Poppins" w:hAnsi="Poppins" w:cs="Poppins"/>
          <w:sz w:val="20"/>
          <w:szCs w:val="20"/>
          <w:lang w:val="es-ES"/>
        </w:rPr>
        <w:t xml:space="preserve"> de esta serie, dirigidos por la Dra. Taylor Miller (DVM, MS, </w:t>
      </w:r>
      <w:proofErr w:type="gramStart"/>
      <w:r w:rsidRPr="00373F16">
        <w:rPr>
          <w:rFonts w:ascii="Poppins" w:hAnsi="Poppins" w:cs="Poppins"/>
          <w:sz w:val="20"/>
          <w:szCs w:val="20"/>
          <w:lang w:val="es-ES"/>
        </w:rPr>
        <w:t>Consejera</w:t>
      </w:r>
      <w:proofErr w:type="gramEnd"/>
      <w:r w:rsidRPr="00373F16">
        <w:rPr>
          <w:rFonts w:ascii="Poppins" w:hAnsi="Poppins" w:cs="Poppins"/>
          <w:sz w:val="20"/>
          <w:szCs w:val="20"/>
          <w:lang w:val="es-ES"/>
        </w:rPr>
        <w:t xml:space="preserve"> Profesional Asociada) ya están disponibles en </w:t>
      </w: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 xml:space="preserve">Dechra </w:t>
      </w:r>
      <w:proofErr w:type="spellStart"/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Academy</w:t>
      </w:r>
      <w:proofErr w:type="spellEnd"/>
      <w:r w:rsidRPr="00373F16">
        <w:rPr>
          <w:rFonts w:ascii="Poppins" w:hAnsi="Poppins" w:cs="Poppins"/>
          <w:sz w:val="20"/>
          <w:szCs w:val="20"/>
          <w:lang w:val="es-ES"/>
        </w:rPr>
        <w:t xml:space="preserve">, la plataforma digital de aprendizaje a la carta de Dechra. </w:t>
      </w:r>
      <w:r w:rsidRPr="00B264E1">
        <w:rPr>
          <w:rFonts w:ascii="Poppins" w:hAnsi="Poppins" w:cs="Poppins"/>
          <w:sz w:val="20"/>
          <w:szCs w:val="20"/>
          <w:lang w:val="es-ES"/>
        </w:rPr>
        <w:t>Los temas incluyen</w:t>
      </w:r>
      <w:r w:rsidR="0078471A" w:rsidRPr="00B264E1">
        <w:rPr>
          <w:rFonts w:ascii="Poppins" w:hAnsi="Poppins" w:cs="Poppins"/>
          <w:sz w:val="20"/>
          <w:szCs w:val="20"/>
          <w:lang w:val="es-ES"/>
        </w:rPr>
        <w:t xml:space="preserve">: </w:t>
      </w:r>
    </w:p>
    <w:p w14:paraId="2A2C57A7" w14:textId="483F2F86" w:rsidR="0078471A" w:rsidRPr="00B264E1" w:rsidRDefault="00373F16" w:rsidP="0078471A">
      <w:pPr>
        <w:rPr>
          <w:rFonts w:ascii="Poppins" w:hAnsi="Poppins" w:cs="Poppins"/>
          <w:b/>
          <w:bCs/>
          <w:sz w:val="20"/>
          <w:szCs w:val="20"/>
          <w:lang w:val="es-ES"/>
        </w:rPr>
      </w:pPr>
      <w:r w:rsidRPr="00B264E1">
        <w:rPr>
          <w:rFonts w:ascii="Poppins" w:hAnsi="Poppins" w:cs="Poppins"/>
          <w:b/>
          <w:bCs/>
          <w:sz w:val="20"/>
          <w:szCs w:val="20"/>
          <w:lang w:val="es-ES"/>
        </w:rPr>
        <w:t>Sabores de la fatiga</w:t>
      </w:r>
      <w:r w:rsidR="0078471A" w:rsidRPr="00B264E1">
        <w:rPr>
          <w:rFonts w:ascii="Poppins" w:hAnsi="Poppins" w:cs="Poppins"/>
          <w:b/>
          <w:bCs/>
          <w:sz w:val="20"/>
          <w:szCs w:val="20"/>
          <w:lang w:val="es-ES"/>
        </w:rPr>
        <w:t>:</w:t>
      </w:r>
    </w:p>
    <w:p w14:paraId="5545A8E7" w14:textId="1AB970F3" w:rsidR="0078471A" w:rsidRPr="00B264E1" w:rsidRDefault="00B264E1" w:rsidP="0078471A">
      <w:pPr>
        <w:rPr>
          <w:rFonts w:ascii="Poppins" w:hAnsi="Poppins" w:cs="Poppins"/>
          <w:sz w:val="20"/>
          <w:szCs w:val="20"/>
          <w:lang w:val="es-ES"/>
        </w:rPr>
      </w:pPr>
      <w:r w:rsidRPr="00B264E1">
        <w:rPr>
          <w:rFonts w:ascii="Poppins" w:hAnsi="Poppins" w:cs="Poppins"/>
          <w:sz w:val="20"/>
          <w:szCs w:val="20"/>
          <w:lang w:val="es-ES"/>
        </w:rPr>
        <w:t xml:space="preserve">"Sabores de fatiga", profundiza en la naturaleza polifacética de la fatiga que experimentan los profesionales veterinarios. Los participantes obtendrán estrategias prácticas para reconocer y gestionar la angustia moral, la fatiga por decisión, la fatiga mental, la privación de sueño y la fatiga por </w:t>
      </w:r>
      <w:r w:rsidR="00DA6A89" w:rsidRPr="00B264E1">
        <w:rPr>
          <w:rFonts w:ascii="Poppins" w:hAnsi="Poppins" w:cs="Poppins"/>
          <w:sz w:val="20"/>
          <w:szCs w:val="20"/>
          <w:lang w:val="es-ES"/>
        </w:rPr>
        <w:t>compasión.</w:t>
      </w:r>
      <w:r w:rsidR="0078471A" w:rsidRPr="00B264E1">
        <w:rPr>
          <w:rFonts w:ascii="Poppins" w:hAnsi="Poppins" w:cs="Poppins"/>
          <w:sz w:val="20"/>
          <w:szCs w:val="20"/>
          <w:lang w:val="es-ES"/>
        </w:rPr>
        <w:t xml:space="preserve"> </w:t>
      </w:r>
    </w:p>
    <w:p w14:paraId="6C6D8DFE" w14:textId="0E715466" w:rsidR="0078471A" w:rsidRPr="00053334" w:rsidRDefault="00B264E1" w:rsidP="0078471A">
      <w:pPr>
        <w:rPr>
          <w:rFonts w:ascii="Poppins" w:hAnsi="Poppins" w:cs="Poppins"/>
          <w:b/>
          <w:bCs/>
          <w:sz w:val="20"/>
          <w:szCs w:val="20"/>
          <w:lang w:val="es-ES"/>
        </w:rPr>
      </w:pPr>
      <w:r w:rsidRPr="00053334">
        <w:rPr>
          <w:rFonts w:ascii="Poppins" w:hAnsi="Poppins" w:cs="Poppins"/>
          <w:b/>
          <w:bCs/>
          <w:sz w:val="20"/>
          <w:szCs w:val="20"/>
          <w:lang w:val="es-ES"/>
        </w:rPr>
        <w:t>Trampas de personalidad</w:t>
      </w:r>
      <w:r w:rsidR="0078471A" w:rsidRPr="00053334">
        <w:rPr>
          <w:rFonts w:ascii="Poppins" w:hAnsi="Poppins" w:cs="Poppins"/>
          <w:b/>
          <w:bCs/>
          <w:sz w:val="20"/>
          <w:szCs w:val="20"/>
          <w:lang w:val="es-ES"/>
        </w:rPr>
        <w:t>:</w:t>
      </w:r>
    </w:p>
    <w:p w14:paraId="514F1A0A" w14:textId="77777777" w:rsidR="00053334" w:rsidRPr="00053334" w:rsidRDefault="00053334" w:rsidP="00053334">
      <w:pPr>
        <w:rPr>
          <w:rFonts w:ascii="Poppins" w:hAnsi="Poppins" w:cs="Poppins"/>
          <w:sz w:val="20"/>
          <w:szCs w:val="20"/>
          <w:lang w:val="es-ES"/>
        </w:rPr>
      </w:pPr>
      <w:r w:rsidRPr="00053334">
        <w:rPr>
          <w:rFonts w:ascii="Poppins" w:hAnsi="Poppins" w:cs="Poppins"/>
          <w:sz w:val="20"/>
          <w:szCs w:val="20"/>
          <w:lang w:val="es-ES"/>
        </w:rPr>
        <w:t xml:space="preserve">En este curso, la Dra. Taylor Miller explora atributos personales como el perfeccionismo, las tendencias a agradar a la gente, el fenómeno del impostor, el neuroticismo y la introversión. A través de módulos interactivos, los participantes aprenderán a reconocer estas trampas y a aplicar estrategias para mitigarlas. </w:t>
      </w:r>
    </w:p>
    <w:p w14:paraId="62A6E206" w14:textId="77777777" w:rsidR="00053334" w:rsidRPr="00053334" w:rsidRDefault="00053334" w:rsidP="00053334">
      <w:pPr>
        <w:rPr>
          <w:rFonts w:ascii="Poppins" w:hAnsi="Poppins" w:cs="Poppins"/>
          <w:sz w:val="20"/>
          <w:szCs w:val="20"/>
          <w:lang w:val="es-ES"/>
        </w:rPr>
      </w:pPr>
      <w:r w:rsidRPr="00053334">
        <w:rPr>
          <w:rFonts w:ascii="Poppins" w:hAnsi="Poppins" w:cs="Poppins"/>
          <w:sz w:val="20"/>
          <w:szCs w:val="20"/>
          <w:lang w:val="es-ES"/>
        </w:rPr>
        <w:t xml:space="preserve">Con contenidos a la carta y de pequeño formato, estos cursos ofrecen flexibilidad a los profesionales veterinarios ocupados. Los cursos modulares permiten a los alumnos centrarse en el área más relevante para ellos. </w:t>
      </w:r>
    </w:p>
    <w:p w14:paraId="161DAD39" w14:textId="332D2CE1" w:rsidR="0078471A" w:rsidRPr="00053334" w:rsidRDefault="00053334" w:rsidP="00053334">
      <w:pPr>
        <w:rPr>
          <w:rFonts w:ascii="Poppins" w:hAnsi="Poppins" w:cs="Poppins"/>
          <w:sz w:val="20"/>
          <w:szCs w:val="20"/>
          <w:lang w:val="es-ES"/>
        </w:rPr>
      </w:pPr>
      <w:r w:rsidRPr="00053334">
        <w:rPr>
          <w:rFonts w:ascii="Poppins" w:hAnsi="Poppins" w:cs="Poppins"/>
          <w:sz w:val="20"/>
          <w:szCs w:val="20"/>
          <w:lang w:val="es-ES"/>
        </w:rPr>
        <w:t>Ambas iniciativas subrayan el compromiso compartido de fomentar una cultura de apertura, apoyo y autocuidado proactivo dentro de la comunidad veterinaria. Al proporcionar herramientas prácticas y estrategias basadas en pruebas, Dechra y NOMV pretenden capacitar a los profesionales veterinarios para que den prioridad a su salud mental y desarrollen resiliencia en su vida profesional.</w:t>
      </w:r>
    </w:p>
    <w:p w14:paraId="163D8F8D" w14:textId="77777777" w:rsidR="00243DCA" w:rsidRPr="00243DCA" w:rsidRDefault="00243DCA" w:rsidP="00243DCA">
      <w:pPr>
        <w:rPr>
          <w:rFonts w:ascii="Poppins" w:hAnsi="Poppins" w:cs="Poppins"/>
          <w:sz w:val="20"/>
          <w:szCs w:val="20"/>
          <w:lang w:val="es-ES"/>
        </w:rPr>
      </w:pPr>
      <w:r w:rsidRPr="00243DCA">
        <w:rPr>
          <w:rFonts w:ascii="Poppins" w:hAnsi="Poppins" w:cs="Poppins"/>
          <w:sz w:val="20"/>
          <w:szCs w:val="20"/>
          <w:lang w:val="es-ES"/>
        </w:rPr>
        <w:t xml:space="preserve">"Estamos encantados de asociarnos con </w:t>
      </w:r>
      <w:proofErr w:type="spellStart"/>
      <w:r w:rsidRPr="00243DCA">
        <w:rPr>
          <w:rFonts w:ascii="Poppins" w:hAnsi="Poppins" w:cs="Poppins"/>
          <w:sz w:val="20"/>
          <w:szCs w:val="20"/>
          <w:lang w:val="es-ES"/>
        </w:rPr>
        <w:t>Not</w:t>
      </w:r>
      <w:proofErr w:type="spellEnd"/>
      <w:r w:rsidRPr="00243DCA">
        <w:rPr>
          <w:rFonts w:ascii="Poppins" w:hAnsi="Poppins" w:cs="Poppins"/>
          <w:sz w:val="20"/>
          <w:szCs w:val="20"/>
          <w:lang w:val="es-ES"/>
        </w:rPr>
        <w:t xml:space="preserve"> One More Vet para abordar la cuestión crítica del bienestar mental en la profesión veterinaria", dijo </w:t>
      </w:r>
      <w:r w:rsidRPr="00DA6A89">
        <w:rPr>
          <w:rFonts w:ascii="Poppins" w:hAnsi="Poppins" w:cs="Poppins"/>
          <w:b/>
          <w:bCs/>
          <w:sz w:val="20"/>
          <w:szCs w:val="20"/>
          <w:lang w:val="es-ES"/>
        </w:rPr>
        <w:t>Pilar Brazis, Country Manager para Dechra Iberia</w:t>
      </w:r>
      <w:r w:rsidRPr="00243DCA">
        <w:rPr>
          <w:rFonts w:ascii="Poppins" w:hAnsi="Poppins" w:cs="Poppins"/>
          <w:sz w:val="20"/>
          <w:szCs w:val="20"/>
          <w:lang w:val="es-ES"/>
        </w:rPr>
        <w:t>. "A través de esta serie de cursos, pretendemos proporcionar herramientas prácticas y conocimientos para apoyar el bienestar de los profesionales veterinarios de todo el mundo".</w:t>
      </w:r>
    </w:p>
    <w:p w14:paraId="00B01E00" w14:textId="77777777" w:rsidR="00BF2900" w:rsidRDefault="00243DCA" w:rsidP="00243DCA">
      <w:pPr>
        <w:rPr>
          <w:rFonts w:ascii="Poppins" w:hAnsi="Poppins" w:cs="Poppins"/>
          <w:sz w:val="20"/>
          <w:szCs w:val="20"/>
          <w:lang w:val="es-ES"/>
        </w:rPr>
      </w:pPr>
      <w:r w:rsidRPr="00243DCA">
        <w:rPr>
          <w:rFonts w:ascii="Poppins" w:hAnsi="Poppins" w:cs="Poppins"/>
          <w:sz w:val="20"/>
          <w:szCs w:val="20"/>
          <w:lang w:val="es-ES"/>
        </w:rPr>
        <w:t xml:space="preserve">Para los profesionales veterinarios dispuestos a embarcarse en un viaje de autodescubrimiento y crecimiento, </w:t>
      </w:r>
      <w:r w:rsidRPr="00BF2900">
        <w:rPr>
          <w:rFonts w:ascii="Poppins" w:hAnsi="Poppins" w:cs="Poppins"/>
          <w:b/>
          <w:bCs/>
          <w:sz w:val="20"/>
          <w:szCs w:val="20"/>
          <w:lang w:val="es-ES"/>
        </w:rPr>
        <w:t>ya está abierta la inscripción para ambos cursos</w:t>
      </w:r>
      <w:r w:rsidRPr="00243DCA">
        <w:rPr>
          <w:rFonts w:ascii="Poppins" w:hAnsi="Poppins" w:cs="Poppins"/>
          <w:sz w:val="20"/>
          <w:szCs w:val="20"/>
          <w:lang w:val="es-ES"/>
        </w:rPr>
        <w:t xml:space="preserve"> en Dechra </w:t>
      </w:r>
      <w:proofErr w:type="spellStart"/>
      <w:r w:rsidRPr="00243DCA">
        <w:rPr>
          <w:rFonts w:ascii="Poppins" w:hAnsi="Poppins" w:cs="Poppins"/>
          <w:sz w:val="20"/>
          <w:szCs w:val="20"/>
          <w:lang w:val="es-ES"/>
        </w:rPr>
        <w:t>Academy</w:t>
      </w:r>
      <w:proofErr w:type="spellEnd"/>
      <w:r w:rsidRPr="00243DCA">
        <w:rPr>
          <w:rFonts w:ascii="Poppins" w:hAnsi="Poppins" w:cs="Poppins"/>
          <w:sz w:val="20"/>
          <w:szCs w:val="20"/>
          <w:lang w:val="es-ES"/>
        </w:rPr>
        <w:t xml:space="preserve">. </w:t>
      </w:r>
    </w:p>
    <w:p w14:paraId="727DF250" w14:textId="7F7683ED" w:rsidR="0078471A" w:rsidRPr="00BF2900" w:rsidRDefault="00243DCA" w:rsidP="00243DCA">
      <w:pPr>
        <w:rPr>
          <w:rFonts w:ascii="Poppins" w:hAnsi="Poppins" w:cs="Poppins"/>
          <w:b/>
          <w:bCs/>
          <w:sz w:val="20"/>
          <w:szCs w:val="20"/>
          <w:lang w:val="es-ES"/>
        </w:rPr>
      </w:pPr>
      <w:r w:rsidRPr="00BF2900">
        <w:rPr>
          <w:rFonts w:ascii="Poppins" w:hAnsi="Poppins" w:cs="Poppins"/>
          <w:b/>
          <w:bCs/>
          <w:sz w:val="20"/>
          <w:szCs w:val="20"/>
          <w:lang w:val="es-ES"/>
        </w:rPr>
        <w:lastRenderedPageBreak/>
        <w:t>Únete a nosotros para dar forma a un futuro más sano y resistente para los profesionales veterinarios de todo el mundo.</w:t>
      </w:r>
    </w:p>
    <w:p w14:paraId="64C5D32F" w14:textId="77777777" w:rsidR="0078471A" w:rsidRPr="00243DCA" w:rsidRDefault="0078471A" w:rsidP="0078471A">
      <w:pPr>
        <w:rPr>
          <w:rFonts w:ascii="Poppins" w:hAnsi="Poppins" w:cs="Poppins"/>
          <w:sz w:val="20"/>
          <w:szCs w:val="20"/>
          <w:lang w:val="es-ES"/>
        </w:rPr>
      </w:pPr>
    </w:p>
    <w:p w14:paraId="1443901D" w14:textId="23B2541A" w:rsidR="0078471A" w:rsidRPr="00BF2900" w:rsidRDefault="00243DCA" w:rsidP="0078471A">
      <w:pPr>
        <w:rPr>
          <w:rFonts w:ascii="Poppins" w:hAnsi="Poppins" w:cs="Poppins"/>
          <w:b/>
          <w:bCs/>
        </w:rPr>
      </w:pPr>
      <w:proofErr w:type="spellStart"/>
      <w:r w:rsidRPr="00BF2900">
        <w:rPr>
          <w:rFonts w:ascii="Poppins" w:hAnsi="Poppins" w:cs="Poppins"/>
          <w:b/>
          <w:bCs/>
        </w:rPr>
        <w:t>Sobre</w:t>
      </w:r>
      <w:proofErr w:type="spellEnd"/>
      <w:r w:rsidR="0078471A" w:rsidRPr="00BF2900">
        <w:rPr>
          <w:rFonts w:ascii="Poppins" w:hAnsi="Poppins" w:cs="Poppins"/>
          <w:b/>
          <w:bCs/>
        </w:rPr>
        <w:t xml:space="preserve"> Not One More Vet (NOMV):</w:t>
      </w:r>
    </w:p>
    <w:p w14:paraId="5DDC436C" w14:textId="77777777" w:rsidR="00FB0B08" w:rsidRPr="00FB0B08" w:rsidRDefault="00FB0B08" w:rsidP="00FB0B08">
      <w:pPr>
        <w:rPr>
          <w:rFonts w:ascii="Poppins" w:hAnsi="Poppins" w:cs="Poppins"/>
          <w:sz w:val="20"/>
          <w:szCs w:val="20"/>
          <w:lang w:val="es-ES"/>
        </w:rPr>
      </w:pPr>
      <w:r w:rsidRPr="00FB0B08">
        <w:rPr>
          <w:rFonts w:ascii="Poppins" w:hAnsi="Poppins" w:cs="Poppins"/>
          <w:sz w:val="20"/>
          <w:szCs w:val="20"/>
          <w:lang w:val="es-ES"/>
        </w:rPr>
        <w:t>NOMV se dedica a abordar el bienestar en la medicina veterinaria a través de diversas vías innovadoras, como el apoyo entre compañeros basado en la evidencia, programas integrales de liderazgo, programas de becas, tutoría e iniciativas de investigación.</w:t>
      </w:r>
    </w:p>
    <w:p w14:paraId="4C4117C9" w14:textId="49F1A8A1" w:rsidR="0078471A" w:rsidRPr="000D7058" w:rsidRDefault="00FB0B08" w:rsidP="00FB0B08">
      <w:pPr>
        <w:rPr>
          <w:rFonts w:ascii="Poppins" w:hAnsi="Poppins" w:cs="Poppins"/>
          <w:sz w:val="20"/>
          <w:szCs w:val="20"/>
          <w:lang w:val="es-ES"/>
        </w:rPr>
      </w:pPr>
      <w:r w:rsidRPr="00FB0B08">
        <w:rPr>
          <w:rFonts w:ascii="Poppins" w:hAnsi="Poppins" w:cs="Poppins"/>
          <w:sz w:val="20"/>
          <w:szCs w:val="20"/>
          <w:lang w:val="es-ES"/>
        </w:rPr>
        <w:t xml:space="preserve">Para más información sobre Dechra </w:t>
      </w:r>
      <w:proofErr w:type="spellStart"/>
      <w:r w:rsidRPr="00FB0B08">
        <w:rPr>
          <w:rFonts w:ascii="Poppins" w:hAnsi="Poppins" w:cs="Poppins"/>
          <w:sz w:val="20"/>
          <w:szCs w:val="20"/>
          <w:lang w:val="es-ES"/>
        </w:rPr>
        <w:t>Academy</w:t>
      </w:r>
      <w:proofErr w:type="spellEnd"/>
      <w:r w:rsidRPr="00FB0B08">
        <w:rPr>
          <w:rFonts w:ascii="Poppins" w:hAnsi="Poppins" w:cs="Poppins"/>
          <w:sz w:val="20"/>
          <w:szCs w:val="20"/>
          <w:lang w:val="es-ES"/>
        </w:rPr>
        <w:t xml:space="preserve"> y para inscribirte en los cursos "Sabores de la fatiga" o "Trampas de la personalidad", visita</w:t>
      </w:r>
      <w:r w:rsidR="0078471A" w:rsidRPr="00FB0B08">
        <w:rPr>
          <w:rFonts w:ascii="Poppins" w:hAnsi="Poppins" w:cs="Poppins"/>
          <w:sz w:val="20"/>
          <w:szCs w:val="20"/>
          <w:lang w:val="es-ES"/>
        </w:rPr>
        <w:t xml:space="preserve"> </w:t>
      </w:r>
      <w:r w:rsidR="00977993">
        <w:fldChar w:fldCharType="begin"/>
      </w:r>
      <w:r w:rsidR="00977993" w:rsidRPr="00977993">
        <w:rPr>
          <w:lang w:val="es-ES"/>
        </w:rPr>
        <w:instrText>HYPERLINK "</w:instrText>
      </w:r>
      <w:r w:rsidR="00977993" w:rsidRPr="00977993">
        <w:rPr>
          <w:lang w:val="es-ES"/>
        </w:rPr>
        <w:instrText>https://academy.dechra.com/learn</w:instrText>
      </w:r>
      <w:r w:rsidR="00977993" w:rsidRPr="00977993">
        <w:rPr>
          <w:lang w:val="es-ES"/>
        </w:rPr>
        <w:instrText>"</w:instrText>
      </w:r>
      <w:r w:rsidR="00977993">
        <w:fldChar w:fldCharType="separate"/>
      </w:r>
      <w:r w:rsidR="00977993" w:rsidRPr="00977993">
        <w:rPr>
          <w:rStyle w:val="Hipervnculo"/>
          <w:lang w:val="es-ES"/>
        </w:rPr>
        <w:t>https://academy.dechra.com/learn</w:t>
      </w:r>
      <w:r w:rsidR="00977993">
        <w:fldChar w:fldCharType="end"/>
      </w:r>
      <w:r w:rsidR="00977993" w:rsidRPr="00977993">
        <w:rPr>
          <w:lang w:val="es-ES"/>
        </w:rPr>
        <w:t xml:space="preserve"> </w:t>
      </w:r>
      <w:r w:rsidR="000D7058">
        <w:rPr>
          <w:rFonts w:ascii="Poppins" w:hAnsi="Poppins" w:cs="Poppins"/>
          <w:sz w:val="20"/>
          <w:szCs w:val="20"/>
          <w:lang w:val="es-ES"/>
        </w:rPr>
        <w:t xml:space="preserve"> </w:t>
      </w:r>
      <w:r w:rsidR="00515AC3" w:rsidRPr="00515AC3">
        <w:rPr>
          <w:rFonts w:ascii="Poppins" w:hAnsi="Poppins" w:cs="Poppins"/>
          <w:sz w:val="20"/>
          <w:szCs w:val="20"/>
          <w:lang w:val="es-ES"/>
        </w:rPr>
        <w:t>El acceso es gratuito para los profesionales veterinarios.</w:t>
      </w:r>
    </w:p>
    <w:p w14:paraId="796AAF69" w14:textId="783A471E" w:rsidR="005566FC" w:rsidRPr="000D7058" w:rsidRDefault="005566FC" w:rsidP="0078471A">
      <w:pPr>
        <w:rPr>
          <w:rFonts w:ascii="Poppins" w:hAnsi="Poppins" w:cs="Poppins"/>
          <w:sz w:val="20"/>
          <w:szCs w:val="20"/>
          <w:lang w:val="es-ES"/>
        </w:rPr>
      </w:pPr>
    </w:p>
    <w:p w14:paraId="577717B0" w14:textId="57071041" w:rsidR="0078471A" w:rsidRPr="00A736C7" w:rsidRDefault="0078471A" w:rsidP="0078471A">
      <w:pPr>
        <w:rPr>
          <w:rFonts w:ascii="Poppins SemiBold" w:hAnsi="Poppins SemiBold" w:cs="Poppins SemiBold"/>
          <w:sz w:val="20"/>
          <w:szCs w:val="20"/>
          <w:lang w:val="es-ES"/>
        </w:rPr>
      </w:pPr>
      <w:r w:rsidRPr="00A736C7">
        <w:rPr>
          <w:rFonts w:ascii="Poppins SemiBold" w:hAnsi="Poppins SemiBold" w:cs="Poppins SemiBold"/>
          <w:sz w:val="20"/>
          <w:szCs w:val="20"/>
          <w:lang w:val="es-ES"/>
        </w:rPr>
        <w:t>-</w:t>
      </w:r>
      <w:r w:rsidR="00515AC3" w:rsidRPr="00A736C7">
        <w:rPr>
          <w:rFonts w:ascii="Poppins SemiBold" w:hAnsi="Poppins SemiBold" w:cs="Poppins SemiBold"/>
          <w:sz w:val="20"/>
          <w:szCs w:val="20"/>
          <w:lang w:val="es-ES"/>
        </w:rPr>
        <w:t>FINAL</w:t>
      </w:r>
      <w:r w:rsidRPr="00A736C7">
        <w:rPr>
          <w:rFonts w:ascii="Poppins SemiBold" w:hAnsi="Poppins SemiBold" w:cs="Poppins SemiBold"/>
          <w:sz w:val="20"/>
          <w:szCs w:val="20"/>
          <w:lang w:val="es-ES"/>
        </w:rPr>
        <w:t>-</w:t>
      </w:r>
    </w:p>
    <w:p w14:paraId="0ED49BD3" w14:textId="77777777" w:rsidR="0078471A" w:rsidRPr="00A736C7" w:rsidRDefault="0078471A" w:rsidP="0078471A">
      <w:pPr>
        <w:rPr>
          <w:rFonts w:ascii="Poppins SemiBold" w:hAnsi="Poppins SemiBold" w:cs="Poppins SemiBold"/>
          <w:lang w:val="es-ES"/>
        </w:rPr>
      </w:pPr>
    </w:p>
    <w:p w14:paraId="0D6A9BD0" w14:textId="7818D75A" w:rsidR="0078471A" w:rsidRPr="00A736C7" w:rsidRDefault="00515AC3" w:rsidP="0078471A">
      <w:pPr>
        <w:rPr>
          <w:rFonts w:ascii="Poppins SemiBold" w:hAnsi="Poppins SemiBold" w:cs="Poppins SemiBold"/>
          <w:lang w:val="es-ES"/>
        </w:rPr>
      </w:pPr>
      <w:r w:rsidRPr="00A736C7">
        <w:rPr>
          <w:rFonts w:ascii="Poppins SemiBold" w:hAnsi="Poppins SemiBold" w:cs="Poppins SemiBold"/>
          <w:lang w:val="es-ES"/>
        </w:rPr>
        <w:t>NOTAS PARA EDITORES</w:t>
      </w:r>
      <w:r w:rsidR="0078471A" w:rsidRPr="00A736C7">
        <w:rPr>
          <w:rFonts w:ascii="Poppins SemiBold" w:hAnsi="Poppins SemiBold" w:cs="Poppins SemiBold"/>
          <w:lang w:val="es-ES"/>
        </w:rPr>
        <w:t>:</w:t>
      </w:r>
    </w:p>
    <w:p w14:paraId="70A5F64A" w14:textId="74D991DD" w:rsidR="00C74521" w:rsidRPr="00A736C7" w:rsidRDefault="00515AC3" w:rsidP="0078471A">
      <w:pPr>
        <w:rPr>
          <w:rFonts w:ascii="Poppins SemiBold" w:hAnsi="Poppins SemiBold" w:cs="Poppins SemiBold"/>
          <w:lang w:val="es-ES"/>
        </w:rPr>
      </w:pPr>
      <w:r w:rsidRPr="00A736C7">
        <w:rPr>
          <w:rFonts w:ascii="Poppins SemiBold" w:hAnsi="Poppins SemiBold" w:cs="Poppins SemiBold"/>
          <w:lang w:val="es-ES"/>
        </w:rPr>
        <w:t>IMÁGENES</w:t>
      </w:r>
      <w:r w:rsidR="0078471A" w:rsidRPr="00A736C7">
        <w:rPr>
          <w:rFonts w:ascii="Poppins SemiBold" w:hAnsi="Poppins SemiBold" w:cs="Poppins SemiBold"/>
          <w:lang w:val="es-ES"/>
        </w:rPr>
        <w:t xml:space="preserve">: </w:t>
      </w:r>
    </w:p>
    <w:p w14:paraId="057AA8F5" w14:textId="7AC16F5E" w:rsidR="00C74521" w:rsidRPr="00A736C7" w:rsidRDefault="00C74521" w:rsidP="0078471A">
      <w:pPr>
        <w:rPr>
          <w:rFonts w:ascii="Poppins" w:hAnsi="Poppins" w:cs="Poppins"/>
          <w:i/>
          <w:iCs/>
          <w:color w:val="808080" w:themeColor="background1" w:themeShade="80"/>
          <w:lang w:val="es-ES"/>
        </w:rPr>
      </w:pPr>
      <w:r w:rsidRPr="00A736C7">
        <w:rPr>
          <w:rFonts w:ascii="Poppins SemiBold" w:hAnsi="Poppins SemiBold" w:cs="Poppins SemiBold"/>
          <w:lang w:val="es-ES"/>
        </w:rPr>
        <w:t>Español</w:t>
      </w:r>
    </w:p>
    <w:p w14:paraId="5E9A0E8C" w14:textId="54C9E009" w:rsidR="0078471A" w:rsidRDefault="00DA6A89" w:rsidP="0078471A">
      <w:pPr>
        <w:rPr>
          <w:rFonts w:ascii="Poppins" w:hAnsi="Poppins" w:cs="Poppins"/>
          <w:i/>
          <w:iCs/>
          <w:color w:val="808080" w:themeColor="background1" w:themeShade="80"/>
        </w:rPr>
      </w:pPr>
      <w:r>
        <w:rPr>
          <w:rFonts w:ascii="Poppins" w:hAnsi="Poppins" w:cs="Poppins"/>
          <w:i/>
          <w:iCs/>
          <w:noProof/>
          <w:color w:val="808080" w:themeColor="background1" w:themeShade="80"/>
        </w:rPr>
        <w:drawing>
          <wp:inline distT="0" distB="0" distL="0" distR="0" wp14:anchorId="5FA4986D" wp14:editId="54FC67C1">
            <wp:extent cx="5731510" cy="1273175"/>
            <wp:effectExtent l="0" t="0" r="2540" b="3175"/>
            <wp:docPr id="5" name="Imagen 5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4094" w14:textId="02CC9F69" w:rsidR="00C74521" w:rsidRPr="00531996" w:rsidRDefault="00C74521" w:rsidP="0078471A">
      <w:pPr>
        <w:rPr>
          <w:rFonts w:ascii="Poppins SemiBold" w:hAnsi="Poppins SemiBold" w:cs="Poppins SemiBold"/>
        </w:rPr>
      </w:pPr>
      <w:r w:rsidRPr="00531996">
        <w:rPr>
          <w:rFonts w:ascii="Poppins SemiBold" w:hAnsi="Poppins SemiBold" w:cs="Poppins SemiBold"/>
        </w:rPr>
        <w:t>Portugués</w:t>
      </w:r>
    </w:p>
    <w:p w14:paraId="39246C22" w14:textId="47C360DE" w:rsidR="00C74521" w:rsidRPr="00C74521" w:rsidRDefault="0089212E" w:rsidP="0078471A">
      <w:pPr>
        <w:rPr>
          <w:rFonts w:ascii="Poppins" w:hAnsi="Poppins" w:cs="Poppins"/>
          <w:i/>
          <w:iCs/>
          <w:color w:val="808080" w:themeColor="background1" w:themeShade="80"/>
          <w:lang w:val="pt-PT"/>
        </w:rPr>
      </w:pPr>
      <w:r>
        <w:rPr>
          <w:rFonts w:ascii="Poppins" w:hAnsi="Poppins" w:cs="Poppins"/>
          <w:i/>
          <w:iCs/>
          <w:noProof/>
          <w:color w:val="808080" w:themeColor="background1" w:themeShade="80"/>
          <w:lang w:val="pt-PT"/>
        </w:rPr>
        <w:drawing>
          <wp:inline distT="0" distB="0" distL="0" distR="0" wp14:anchorId="2D6804A2" wp14:editId="6F445A01">
            <wp:extent cx="5731510" cy="1273175"/>
            <wp:effectExtent l="0" t="0" r="2540" b="3175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6670" w14:textId="325C78FF" w:rsidR="0078471A" w:rsidRPr="00C74521" w:rsidRDefault="00A736C7" w:rsidP="0078471A">
      <w:pPr>
        <w:spacing w:after="0"/>
        <w:rPr>
          <w:rFonts w:ascii="Poppins SemiBold" w:hAnsi="Poppins SemiBold" w:cs="Poppins SemiBold"/>
          <w:lang w:val="pt-PT"/>
        </w:rPr>
      </w:pPr>
      <w:r>
        <w:rPr>
          <w:rFonts w:ascii="Poppins SemiBold" w:hAnsi="Poppins SemiBold" w:cs="Poppins SemiBold"/>
          <w:lang w:val="pt-PT"/>
        </w:rPr>
        <w:t>Consultas</w:t>
      </w:r>
      <w:r w:rsidR="0078471A" w:rsidRPr="00C74521">
        <w:rPr>
          <w:rFonts w:ascii="Poppins SemiBold" w:hAnsi="Poppins SemiBold" w:cs="Poppins SemiBold"/>
          <w:lang w:val="pt-PT"/>
        </w:rPr>
        <w:t xml:space="preserve">: </w:t>
      </w:r>
    </w:p>
    <w:p w14:paraId="6878CE32" w14:textId="079DB407" w:rsidR="0078471A" w:rsidRPr="00A736C7" w:rsidRDefault="00C74521" w:rsidP="0078471A">
      <w:pPr>
        <w:spacing w:after="0"/>
        <w:rPr>
          <w:rFonts w:ascii="Poppins SemiBold" w:hAnsi="Poppins SemiBold" w:cs="Poppins SemiBold"/>
          <w:lang w:val="pt-PT"/>
        </w:rPr>
      </w:pPr>
      <w:r w:rsidRPr="00A736C7">
        <w:rPr>
          <w:rFonts w:ascii="Poppins SemiBold" w:hAnsi="Poppins SemiBold" w:cs="Poppins SemiBold"/>
          <w:lang w:val="pt-PT"/>
        </w:rPr>
        <w:t>Mireia Peña Pla – Senior Product Manager</w:t>
      </w:r>
    </w:p>
    <w:p w14:paraId="63927E71" w14:textId="27D1D06A" w:rsidR="0078471A" w:rsidRPr="00A736C7" w:rsidRDefault="0078471A" w:rsidP="0078471A">
      <w:pPr>
        <w:spacing w:after="0"/>
        <w:rPr>
          <w:rFonts w:ascii="Poppins SemiBold" w:hAnsi="Poppins SemiBold" w:cs="Poppins SemiBold"/>
          <w:lang w:val="pt-PT"/>
        </w:rPr>
      </w:pPr>
      <w:r w:rsidRPr="00A736C7">
        <w:rPr>
          <w:rFonts w:ascii="Poppins SemiBold" w:hAnsi="Poppins SemiBold" w:cs="Poppins SemiBold"/>
          <w:lang w:val="pt-PT"/>
        </w:rPr>
        <w:t>Email:</w:t>
      </w:r>
      <w:r w:rsidR="00C74521" w:rsidRPr="00A736C7">
        <w:rPr>
          <w:rFonts w:ascii="Poppins SemiBold" w:hAnsi="Poppins SemiBold" w:cs="Poppins SemiBold"/>
          <w:lang w:val="pt-PT"/>
        </w:rPr>
        <w:t xml:space="preserve"> mireia.pena@dechra.com</w:t>
      </w:r>
    </w:p>
    <w:p w14:paraId="0609A094" w14:textId="261F0AF0" w:rsidR="0078471A" w:rsidRPr="00977993" w:rsidRDefault="00977993" w:rsidP="0078471A">
      <w:pPr>
        <w:spacing w:after="0"/>
        <w:rPr>
          <w:rFonts w:ascii="Poppins SemiBold" w:hAnsi="Poppins SemiBold" w:cs="Poppins SemiBold"/>
          <w:lang w:val="pt-PT"/>
        </w:rPr>
      </w:pPr>
      <w:hyperlink r:id="rId11" w:history="1">
        <w:r w:rsidR="00C74521" w:rsidRPr="00977993">
          <w:rPr>
            <w:rStyle w:val="Hipervnculo"/>
            <w:rFonts w:ascii="Poppins SemiBold" w:hAnsi="Poppins SemiBold" w:cs="Poppins SemiBold"/>
            <w:lang w:val="pt-PT"/>
          </w:rPr>
          <w:t>www.dechra.es</w:t>
        </w:r>
      </w:hyperlink>
      <w:r w:rsidR="00C74521" w:rsidRPr="00977993">
        <w:rPr>
          <w:rFonts w:ascii="Poppins SemiBold" w:hAnsi="Poppins SemiBold" w:cs="Poppins SemiBold"/>
          <w:lang w:val="pt-PT"/>
        </w:rPr>
        <w:t xml:space="preserve"> / </w:t>
      </w:r>
      <w:hyperlink r:id="rId12" w:history="1">
        <w:r w:rsidR="00224DF6" w:rsidRPr="00977993">
          <w:rPr>
            <w:rStyle w:val="Hipervnculo"/>
            <w:rFonts w:ascii="Poppins SemiBold" w:hAnsi="Poppins SemiBold" w:cs="Poppins SemiBold"/>
            <w:lang w:val="pt-PT"/>
          </w:rPr>
          <w:t>www.Dechra.pt</w:t>
        </w:r>
      </w:hyperlink>
      <w:r w:rsidR="00224DF6" w:rsidRPr="00977993">
        <w:rPr>
          <w:rFonts w:ascii="Poppins SemiBold" w:hAnsi="Poppins SemiBold" w:cs="Poppins SemiBold"/>
          <w:lang w:val="pt-PT"/>
        </w:rPr>
        <w:t xml:space="preserve"> </w:t>
      </w:r>
    </w:p>
    <w:p w14:paraId="3A61F3FB" w14:textId="236214DC" w:rsidR="0078471A" w:rsidRPr="00977993" w:rsidRDefault="0078471A" w:rsidP="0078471A">
      <w:pPr>
        <w:pStyle w:val="Default"/>
        <w:rPr>
          <w:rFonts w:ascii="Poppins" w:hAnsi="Poppins" w:cs="Poppins"/>
          <w:sz w:val="22"/>
          <w:szCs w:val="22"/>
          <w:lang w:val="pt-PT"/>
        </w:rPr>
      </w:pPr>
      <w:r w:rsidRPr="000F6217">
        <w:rPr>
          <w:rFonts w:ascii="Poppins" w:hAnsi="Poppins" w:cs="Poppins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DDB5A77" wp14:editId="132A681E">
            <wp:simplePos x="0" y="0"/>
            <wp:positionH relativeFrom="margin">
              <wp:align>left</wp:align>
            </wp:positionH>
            <wp:positionV relativeFrom="paragraph">
              <wp:posOffset>8613</wp:posOffset>
            </wp:positionV>
            <wp:extent cx="144000" cy="146233"/>
            <wp:effectExtent l="0" t="0" r="8890" b="6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6233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993">
        <w:rPr>
          <w:rFonts w:ascii="Poppins" w:hAnsi="Poppins" w:cs="Poppins"/>
          <w:sz w:val="22"/>
          <w:szCs w:val="22"/>
          <w:lang w:val="pt-PT"/>
        </w:rPr>
        <w:t>@Dechr</w:t>
      </w:r>
      <w:r w:rsidR="002D1E68" w:rsidRPr="00977993">
        <w:rPr>
          <w:rFonts w:ascii="Poppins" w:hAnsi="Poppins" w:cs="Poppins"/>
          <w:sz w:val="22"/>
          <w:szCs w:val="22"/>
          <w:lang w:val="pt-PT"/>
        </w:rPr>
        <w:t>a_iberia</w:t>
      </w:r>
    </w:p>
    <w:p w14:paraId="5AD9B016" w14:textId="3D22FB66" w:rsidR="0078471A" w:rsidRPr="00977993" w:rsidRDefault="0078471A" w:rsidP="0078471A">
      <w:pPr>
        <w:pStyle w:val="Default"/>
        <w:ind w:left="360"/>
        <w:rPr>
          <w:rFonts w:ascii="Poppins" w:hAnsi="Poppins" w:cs="Poppins"/>
          <w:b/>
          <w:bCs/>
          <w:sz w:val="22"/>
          <w:szCs w:val="22"/>
          <w:lang w:val="pt-PT"/>
        </w:rPr>
      </w:pPr>
      <w:r w:rsidRPr="000F6217">
        <w:rPr>
          <w:rFonts w:ascii="Poppins" w:hAnsi="Poppins" w:cs="Poppin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8F521" wp14:editId="7010CF99">
            <wp:simplePos x="0" y="0"/>
            <wp:positionH relativeFrom="margin">
              <wp:posOffset>0</wp:posOffset>
            </wp:positionH>
            <wp:positionV relativeFrom="paragraph">
              <wp:posOffset>28271</wp:posOffset>
            </wp:positionV>
            <wp:extent cx="144000" cy="147375"/>
            <wp:effectExtent l="0" t="0" r="889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737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993">
        <w:rPr>
          <w:rFonts w:ascii="Poppins" w:hAnsi="Poppins" w:cs="Poppins"/>
          <w:sz w:val="22"/>
          <w:szCs w:val="22"/>
          <w:lang w:val="pt-PT"/>
        </w:rPr>
        <w:t xml:space="preserve"> @Dechra</w:t>
      </w:r>
      <w:r w:rsidR="002D1E68" w:rsidRPr="00977993">
        <w:rPr>
          <w:rFonts w:ascii="Poppins" w:hAnsi="Poppins" w:cs="Poppins"/>
          <w:sz w:val="22"/>
          <w:szCs w:val="22"/>
          <w:lang w:val="pt-PT"/>
        </w:rPr>
        <w:t>Iberia</w:t>
      </w:r>
    </w:p>
    <w:p w14:paraId="6C4515E7" w14:textId="77777777" w:rsidR="0078471A" w:rsidRPr="00977993" w:rsidRDefault="0078471A" w:rsidP="0078471A">
      <w:pPr>
        <w:rPr>
          <w:rFonts w:ascii="Poppins SemiBold" w:hAnsi="Poppins SemiBold" w:cs="Poppins SemiBold"/>
          <w:lang w:val="pt-PT"/>
        </w:rPr>
      </w:pPr>
    </w:p>
    <w:p w14:paraId="31663DEC" w14:textId="6116507E" w:rsidR="0078471A" w:rsidRPr="00224DF6" w:rsidRDefault="002D1E68" w:rsidP="0078471A">
      <w:pPr>
        <w:rPr>
          <w:rFonts w:ascii="Poppins SemiBold" w:hAnsi="Poppins SemiBold" w:cs="Poppins SemiBold"/>
          <w:lang w:val="es-ES"/>
        </w:rPr>
      </w:pPr>
      <w:r w:rsidRPr="00224DF6">
        <w:rPr>
          <w:rFonts w:ascii="Poppins SemiBold" w:hAnsi="Poppins SemiBold" w:cs="Poppins SemiBold"/>
          <w:lang w:val="es-ES"/>
        </w:rPr>
        <w:t>Sobre Dechra</w:t>
      </w:r>
    </w:p>
    <w:p w14:paraId="0AA4DBBA" w14:textId="77777777" w:rsidR="000E7B86" w:rsidRPr="000E7B86" w:rsidRDefault="000E7B86" w:rsidP="000E7B86">
      <w:pPr>
        <w:rPr>
          <w:rFonts w:ascii="Poppins" w:hAnsi="Poppins" w:cs="Poppins"/>
          <w:lang w:val="es-ES"/>
        </w:rPr>
      </w:pPr>
      <w:r w:rsidRPr="000E7B86">
        <w:rPr>
          <w:rFonts w:ascii="Poppins" w:hAnsi="Poppins" w:cs="Poppins"/>
          <w:lang w:val="es-ES"/>
        </w:rPr>
        <w:t>Dechra es una empresa internacional especializada en productos farmacéuticos veterinarios y afines. La experiencia de Dechra se centra en el desarrollo, la fabricación y la venta y comercialización de productos de alta calidad - exclusivamente para veterinarios - con el fin de apoyar la mejora sostenible de la salud y el bienestar animal en todo el mundo.</w:t>
      </w:r>
    </w:p>
    <w:p w14:paraId="718E26EA" w14:textId="21E5D50E" w:rsidR="000E7B86" w:rsidRPr="000E7B86" w:rsidRDefault="000E7B86" w:rsidP="000E7B86">
      <w:pPr>
        <w:rPr>
          <w:rFonts w:ascii="Poppins" w:hAnsi="Poppins" w:cs="Poppins"/>
          <w:lang w:val="es-ES"/>
        </w:rPr>
      </w:pPr>
      <w:r w:rsidRPr="000E7B86">
        <w:rPr>
          <w:rFonts w:ascii="Poppins" w:hAnsi="Poppins" w:cs="Poppins"/>
          <w:lang w:val="es-ES"/>
        </w:rPr>
        <w:t xml:space="preserve">Dechra cuenta con una amplia gama de productos para animales productores de alimentos, equinos y </w:t>
      </w:r>
      <w:r>
        <w:rPr>
          <w:rFonts w:ascii="Poppins" w:hAnsi="Poppins" w:cs="Poppins"/>
          <w:lang w:val="es-ES"/>
        </w:rPr>
        <w:t xml:space="preserve">animales </w:t>
      </w:r>
      <w:r w:rsidRPr="000E7B86">
        <w:rPr>
          <w:rFonts w:ascii="Poppins" w:hAnsi="Poppins" w:cs="Poppins"/>
          <w:lang w:val="es-ES"/>
        </w:rPr>
        <w:t>de compañía, diseñados para ayudar a los veterinarios a ofrecer una prevención, un control y una gestión eficaces de las enfermedades.</w:t>
      </w:r>
    </w:p>
    <w:p w14:paraId="7577CF9F" w14:textId="77777777" w:rsidR="000E7B86" w:rsidRPr="000E7B86" w:rsidRDefault="000E7B86" w:rsidP="000E7B86">
      <w:pPr>
        <w:rPr>
          <w:rFonts w:ascii="Poppins" w:hAnsi="Poppins" w:cs="Poppins"/>
          <w:lang w:val="es-ES"/>
        </w:rPr>
      </w:pPr>
    </w:p>
    <w:p w14:paraId="10650744" w14:textId="77777777" w:rsidR="000E7B86" w:rsidRPr="000E7B86" w:rsidRDefault="000E7B86" w:rsidP="000E7B86">
      <w:pPr>
        <w:rPr>
          <w:rFonts w:ascii="Poppins" w:hAnsi="Poppins" w:cs="Poppins"/>
          <w:lang w:val="es-ES"/>
        </w:rPr>
      </w:pPr>
      <w:r w:rsidRPr="000E7B86">
        <w:rPr>
          <w:rFonts w:ascii="Poppins" w:hAnsi="Poppins" w:cs="Poppins"/>
          <w:lang w:val="es-ES"/>
        </w:rPr>
        <w:t xml:space="preserve">Además de productos de alta calidad, Dechra apoya a los veterinarios en sus casos difíciles cuando lo necesitan. Esto se debe a que Dechra ve las cosas desde </w:t>
      </w:r>
      <w:proofErr w:type="spellStart"/>
      <w:r w:rsidRPr="000E7B86">
        <w:rPr>
          <w:rFonts w:ascii="Poppins" w:hAnsi="Poppins" w:cs="Poppins"/>
          <w:lang w:val="es-ES"/>
        </w:rPr>
        <w:t>The</w:t>
      </w:r>
      <w:proofErr w:type="spellEnd"/>
      <w:r w:rsidRPr="000E7B86">
        <w:rPr>
          <w:rFonts w:ascii="Poppins" w:hAnsi="Poppins" w:cs="Poppins"/>
          <w:lang w:val="es-ES"/>
        </w:rPr>
        <w:t xml:space="preserve"> Veterinary </w:t>
      </w:r>
      <w:proofErr w:type="spellStart"/>
      <w:r w:rsidRPr="000E7B86">
        <w:rPr>
          <w:rFonts w:ascii="Poppins" w:hAnsi="Poppins" w:cs="Poppins"/>
          <w:lang w:val="es-ES"/>
        </w:rPr>
        <w:t>Perspective</w:t>
      </w:r>
      <w:proofErr w:type="spellEnd"/>
      <w:r w:rsidRPr="000E7B86">
        <w:rPr>
          <w:rFonts w:ascii="Poppins" w:hAnsi="Poppins" w:cs="Poppins"/>
          <w:lang w:val="es-ES"/>
        </w:rPr>
        <w:t>. Al ver las cosas desde esta perspectiva, Dechra comprende los retos veterinarios, lo que le permite ofrecer capacidad de resolución de problemas, soluciones basadas en pruebas y formación, apoyo e información para afecciones complejas, incomprendidas y comunes.</w:t>
      </w:r>
    </w:p>
    <w:p w14:paraId="0ED482F7" w14:textId="77777777" w:rsidR="000E7B86" w:rsidRPr="000E7B86" w:rsidRDefault="000E7B86" w:rsidP="000E7B86">
      <w:pPr>
        <w:rPr>
          <w:rFonts w:ascii="Poppins" w:hAnsi="Poppins" w:cs="Poppins"/>
          <w:lang w:val="es-ES"/>
        </w:rPr>
      </w:pPr>
      <w:r w:rsidRPr="000E7B86">
        <w:rPr>
          <w:rFonts w:ascii="Poppins" w:hAnsi="Poppins" w:cs="Poppins"/>
          <w:lang w:val="es-ES"/>
        </w:rPr>
        <w:t xml:space="preserve">El equipo líder de servicio técnico de Dechra es fácilmente accesible, y los equipos de campo de Dechra proporcionan un excelente apoyo en la clínica, ayudando a los veterinarios a ofrecer el mejor servicio a las mascotas y a los cuidadores. Dechra también ofrece experiencias de aprendizaje modernas, interactivas y estimulantes, y contenidos educativos a través de la popular plataforma Dechra </w:t>
      </w:r>
      <w:proofErr w:type="spellStart"/>
      <w:r w:rsidRPr="000E7B86">
        <w:rPr>
          <w:rFonts w:ascii="Poppins" w:hAnsi="Poppins" w:cs="Poppins"/>
          <w:lang w:val="es-ES"/>
        </w:rPr>
        <w:t>Academy</w:t>
      </w:r>
      <w:proofErr w:type="spellEnd"/>
      <w:r w:rsidRPr="000E7B86">
        <w:rPr>
          <w:rFonts w:ascii="Poppins" w:hAnsi="Poppins" w:cs="Poppins"/>
          <w:lang w:val="es-ES"/>
        </w:rPr>
        <w:t>.</w:t>
      </w:r>
    </w:p>
    <w:p w14:paraId="4567DD7C" w14:textId="09B0E73F" w:rsidR="0078471A" w:rsidRPr="000E7B86" w:rsidRDefault="000E7B86" w:rsidP="000E7B86">
      <w:pPr>
        <w:rPr>
          <w:rFonts w:ascii="Poppins" w:hAnsi="Poppins" w:cs="Poppins"/>
          <w:lang w:val="es-ES"/>
        </w:rPr>
      </w:pPr>
      <w:r w:rsidRPr="000E7B86">
        <w:rPr>
          <w:rFonts w:ascii="Poppins" w:hAnsi="Poppins" w:cs="Poppins"/>
          <w:lang w:val="es-ES"/>
        </w:rPr>
        <w:t>Esforzándose por ser un socio cotidiano para los veterinarios, Dechra no es sólo una empresa farmacéutica para animales. Dechra es la empresa del profesional veterinario. Para más información, visite: www.dechra.com</w:t>
      </w:r>
    </w:p>
    <w:p w14:paraId="1E326176" w14:textId="77777777" w:rsidR="0018132C" w:rsidRPr="0018132C" w:rsidRDefault="0018132C" w:rsidP="0078471A">
      <w:pPr>
        <w:rPr>
          <w:rFonts w:ascii="Poppins SemiBold" w:hAnsi="Poppins SemiBold" w:cs="Poppins SemiBold"/>
          <w:lang w:val="es-ES"/>
        </w:rPr>
      </w:pPr>
      <w:r w:rsidRPr="0018132C">
        <w:rPr>
          <w:rFonts w:ascii="Poppins SemiBold" w:hAnsi="Poppins SemiBold" w:cs="Poppins SemiBold"/>
          <w:lang w:val="es-ES"/>
        </w:rPr>
        <w:t>Marcas comerciales</w:t>
      </w:r>
    </w:p>
    <w:p w14:paraId="08247856" w14:textId="0DD1A8CA" w:rsidR="0078471A" w:rsidRPr="000E7B86" w:rsidRDefault="0018132C" w:rsidP="0078471A">
      <w:pPr>
        <w:rPr>
          <w:rFonts w:ascii="Poppins" w:hAnsi="Poppins" w:cs="Poppins"/>
          <w:lang w:val="es-ES"/>
        </w:rPr>
      </w:pPr>
      <w:r w:rsidRPr="0018132C">
        <w:rPr>
          <w:rFonts w:ascii="Poppins SemiBold" w:hAnsi="Poppins SemiBold" w:cs="Poppins SemiBold"/>
          <w:lang w:val="es-ES"/>
        </w:rPr>
        <w:t>L</w:t>
      </w:r>
      <w:r w:rsidR="000E7B86" w:rsidRPr="000E7B86">
        <w:rPr>
          <w:rFonts w:ascii="Poppins" w:hAnsi="Poppins" w:cs="Poppins"/>
          <w:lang w:val="es-ES"/>
        </w:rPr>
        <w:t xml:space="preserve">as marcas comerciales aparecen a lo largo de este documento en cursiva. Dechra y el logotipo "D" de Dechra son marcas registradas de Dechra </w:t>
      </w:r>
      <w:proofErr w:type="spellStart"/>
      <w:r w:rsidR="000E7B86" w:rsidRPr="000E7B86">
        <w:rPr>
          <w:rFonts w:ascii="Poppins" w:hAnsi="Poppins" w:cs="Poppins"/>
          <w:lang w:val="es-ES"/>
        </w:rPr>
        <w:t>Pharmaceuticals</w:t>
      </w:r>
      <w:proofErr w:type="spellEnd"/>
      <w:r w:rsidR="000E7B86" w:rsidRPr="000E7B86">
        <w:rPr>
          <w:rFonts w:ascii="Poppins" w:hAnsi="Poppins" w:cs="Poppins"/>
          <w:lang w:val="es-ES"/>
        </w:rPr>
        <w:t xml:space="preserve"> PLC.</w:t>
      </w:r>
    </w:p>
    <w:p w14:paraId="7A29427F" w14:textId="77777777" w:rsidR="0078471A" w:rsidRPr="000E7B86" w:rsidRDefault="0078471A" w:rsidP="0078471A">
      <w:pPr>
        <w:rPr>
          <w:rFonts w:ascii="Poppins" w:hAnsi="Poppins" w:cs="Poppins"/>
          <w:lang w:val="es-ES"/>
        </w:rPr>
      </w:pPr>
    </w:p>
    <w:p w14:paraId="220C932E" w14:textId="77777777" w:rsidR="0078471A" w:rsidRPr="000E7B86" w:rsidRDefault="0078471A" w:rsidP="0078471A">
      <w:pPr>
        <w:rPr>
          <w:rFonts w:ascii="Poppins" w:hAnsi="Poppins" w:cs="Poppins"/>
          <w:sz w:val="20"/>
          <w:szCs w:val="20"/>
          <w:lang w:val="es-ES"/>
        </w:rPr>
      </w:pPr>
    </w:p>
    <w:sectPr w:rsidR="0078471A" w:rsidRPr="000E7B8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06D8" w14:textId="77777777" w:rsidR="00B516ED" w:rsidRDefault="00B516ED" w:rsidP="0078471A">
      <w:pPr>
        <w:spacing w:after="0" w:line="240" w:lineRule="auto"/>
      </w:pPr>
      <w:r>
        <w:separator/>
      </w:r>
    </w:p>
  </w:endnote>
  <w:endnote w:type="continuationSeparator" w:id="0">
    <w:p w14:paraId="535D7A23" w14:textId="77777777" w:rsidR="00B516ED" w:rsidRDefault="00B516ED" w:rsidP="0078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C02B" w14:textId="77777777" w:rsidR="00B516ED" w:rsidRDefault="00B516ED" w:rsidP="0078471A">
      <w:pPr>
        <w:spacing w:after="0" w:line="240" w:lineRule="auto"/>
      </w:pPr>
      <w:r>
        <w:separator/>
      </w:r>
    </w:p>
  </w:footnote>
  <w:footnote w:type="continuationSeparator" w:id="0">
    <w:p w14:paraId="1D91D155" w14:textId="77777777" w:rsidR="00B516ED" w:rsidRDefault="00B516ED" w:rsidP="0078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BDC6" w14:textId="0C26ED99" w:rsidR="00585E39" w:rsidRDefault="00585E39" w:rsidP="00585E39">
    <w:pPr>
      <w:rPr>
        <w:rFonts w:ascii="Poppins" w:hAnsi="Poppins" w:cs="Poppins"/>
        <w:b/>
        <w:bCs/>
        <w:sz w:val="20"/>
        <w:szCs w:val="20"/>
      </w:rPr>
    </w:pPr>
    <w:proofErr w:type="spellStart"/>
    <w:r>
      <w:rPr>
        <w:rFonts w:ascii="Poppins" w:hAnsi="Poppins" w:cs="Poppins"/>
        <w:b/>
        <w:bCs/>
        <w:sz w:val="20"/>
        <w:szCs w:val="20"/>
      </w:rPr>
      <w:t>Artículo</w:t>
    </w:r>
    <w:proofErr w:type="spellEnd"/>
    <w:r>
      <w:rPr>
        <w:rFonts w:ascii="Poppins" w:hAnsi="Poppins" w:cs="Poppins"/>
        <w:b/>
        <w:bCs/>
        <w:sz w:val="20"/>
        <w:szCs w:val="20"/>
      </w:rPr>
      <w:t>: Dechra Academy Modules 1 &amp; 2 combined article</w:t>
    </w:r>
  </w:p>
  <w:p w14:paraId="4F73FD40" w14:textId="50BA0A38" w:rsidR="00585E39" w:rsidRDefault="00585E39">
    <w:pPr>
      <w:pStyle w:val="Encabezado"/>
    </w:pPr>
  </w:p>
  <w:p w14:paraId="40AE9A80" w14:textId="0D2E976E" w:rsidR="0078471A" w:rsidRDefault="0078471A" w:rsidP="0078471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3MTIxsTSxtLAwtjRX0lEKTi0uzszPAykwrAUAJxqGzSwAAAA="/>
  </w:docVars>
  <w:rsids>
    <w:rsidRoot w:val="0078471A"/>
    <w:rsid w:val="00053334"/>
    <w:rsid w:val="000D7058"/>
    <w:rsid w:val="000E7B86"/>
    <w:rsid w:val="0010669F"/>
    <w:rsid w:val="0018132C"/>
    <w:rsid w:val="00224DF6"/>
    <w:rsid w:val="00243DCA"/>
    <w:rsid w:val="002D1E68"/>
    <w:rsid w:val="00367394"/>
    <w:rsid w:val="00373F16"/>
    <w:rsid w:val="00387270"/>
    <w:rsid w:val="00515AC3"/>
    <w:rsid w:val="00531996"/>
    <w:rsid w:val="005566FC"/>
    <w:rsid w:val="00585E39"/>
    <w:rsid w:val="0078471A"/>
    <w:rsid w:val="0089212E"/>
    <w:rsid w:val="00977993"/>
    <w:rsid w:val="00A736C7"/>
    <w:rsid w:val="00B264E1"/>
    <w:rsid w:val="00B516ED"/>
    <w:rsid w:val="00BF2900"/>
    <w:rsid w:val="00C74521"/>
    <w:rsid w:val="00DA6A89"/>
    <w:rsid w:val="00DD6830"/>
    <w:rsid w:val="00E57CA4"/>
    <w:rsid w:val="00FB0B08"/>
    <w:rsid w:val="4F2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9187"/>
  <w15:chartTrackingRefBased/>
  <w15:docId w15:val="{C5C66C83-D274-4D2B-9330-D1F01829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71A"/>
  </w:style>
  <w:style w:type="paragraph" w:styleId="Piedepgina">
    <w:name w:val="footer"/>
    <w:basedOn w:val="Normal"/>
    <w:link w:val="PiedepginaCar"/>
    <w:uiPriority w:val="99"/>
    <w:unhideWhenUsed/>
    <w:rsid w:val="0078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71A"/>
  </w:style>
  <w:style w:type="character" w:styleId="Hipervnculo">
    <w:name w:val="Hyperlink"/>
    <w:basedOn w:val="Fuentedeprrafopredeter"/>
    <w:uiPriority w:val="99"/>
    <w:unhideWhenUsed/>
    <w:rsid w:val="0078471A"/>
    <w:rPr>
      <w:color w:val="0563C1" w:themeColor="hyperlink"/>
      <w:u w:val="single"/>
    </w:rPr>
  </w:style>
  <w:style w:type="paragraph" w:customStyle="1" w:styleId="Default">
    <w:name w:val="Default"/>
    <w:rsid w:val="0078471A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kern w:val="0"/>
      <w:sz w:val="24"/>
      <w:szCs w:val="24"/>
      <w14:ligatures w14:val="none"/>
    </w:rPr>
  </w:style>
  <w:style w:type="character" w:customStyle="1" w:styleId="ui-provider">
    <w:name w:val="ui-provider"/>
    <w:basedOn w:val="Fuentedeprrafopredeter"/>
    <w:rsid w:val="0078471A"/>
  </w:style>
  <w:style w:type="character" w:styleId="Hipervnculovisitado">
    <w:name w:val="FollowedHyperlink"/>
    <w:basedOn w:val="Fuentedeprrafopredeter"/>
    <w:uiPriority w:val="99"/>
    <w:semiHidden/>
    <w:unhideWhenUsed/>
    <w:rsid w:val="0078471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echra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chra.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11697103B624DA545BCD775C9BAE7" ma:contentTypeVersion="17" ma:contentTypeDescription="Create a new document." ma:contentTypeScope="" ma:versionID="1f070ac7a21a774dc2cb2fd082bde05f">
  <xsd:schema xmlns:xsd="http://www.w3.org/2001/XMLSchema" xmlns:xs="http://www.w3.org/2001/XMLSchema" xmlns:p="http://schemas.microsoft.com/office/2006/metadata/properties" xmlns:ns1="http://schemas.microsoft.com/sharepoint/v3" xmlns:ns2="eacfe71c-27d3-430d-88dd-12ab93fdc527" xmlns:ns3="a5d6e4ae-9f05-477c-abf2-44c0dc2555b2" targetNamespace="http://schemas.microsoft.com/office/2006/metadata/properties" ma:root="true" ma:fieldsID="e17d3ea3422e9154f597ac01baba2f9f" ns1:_="" ns2:_="" ns3:_="">
    <xsd:import namespace="http://schemas.microsoft.com/sharepoint/v3"/>
    <xsd:import namespace="eacfe71c-27d3-430d-88dd-12ab93fdc527"/>
    <xsd:import namespace="a5d6e4ae-9f05-477c-abf2-44c0dc255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fe71c-27d3-430d-88dd-12ab93fdc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6c4c3-37ea-42cb-b593-6094f29d1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6e4ae-9f05-477c-abf2-44c0dc2555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7f39af-0ecd-4710-8fb2-1ea686afad32}" ma:internalName="TaxCatchAll" ma:showField="CatchAllData" ma:web="a5d6e4ae-9f05-477c-abf2-44c0dc255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5d6e4ae-9f05-477c-abf2-44c0dc2555b2" xsi:nil="true"/>
    <_ip_UnifiedCompliancePolicyProperties xmlns="http://schemas.microsoft.com/sharepoint/v3" xsi:nil="true"/>
    <lcf76f155ced4ddcb4097134ff3c332f xmlns="eacfe71c-27d3-430d-88dd-12ab93fdc5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7B214-5CD8-416B-B24A-D0A3A3057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11927-292F-460E-8477-0587A466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cfe71c-27d3-430d-88dd-12ab93fdc527"/>
    <ds:schemaRef ds:uri="a5d6e4ae-9f05-477c-abf2-44c0dc255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594C8-E1AE-446D-B1F3-B058655F8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d6e4ae-9f05-477c-abf2-44c0dc2555b2"/>
    <ds:schemaRef ds:uri="eacfe71c-27d3-430d-88dd-12ab93fdc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767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Powell</dc:creator>
  <cp:keywords/>
  <dc:description/>
  <cp:lastModifiedBy>Mireia Peña</cp:lastModifiedBy>
  <cp:revision>23</cp:revision>
  <dcterms:created xsi:type="dcterms:W3CDTF">2024-06-19T10:16:00Z</dcterms:created>
  <dcterms:modified xsi:type="dcterms:W3CDTF">2024-08-07T13:13:00Z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a0a7a37ab757dee70530fde70e82e2805adb8e9698790e16b4927de7b40b77d1</vt:lpwstr>
  </property>
  <property fmtid="{D5CDD505-2E9C-101B-9397-08002B2CF9AE}" pid="3" name="ContentTypeId">
    <vt:lpwstr>0x010100FB211697103B624DA545BCD775C9BAE7</vt:lpwstr>
  </property>
</Properties>
</file>